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8" w:rsidRDefault="00FF0488" w:rsidP="00FF048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782FBE">
        <w:rPr>
          <w:rFonts w:ascii="Times New Roman" w:hAnsi="Times New Roman"/>
          <w:b/>
          <w:sz w:val="28"/>
          <w:szCs w:val="28"/>
        </w:rPr>
        <w:t>Мушковичского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Ярцевского района Смоленской области за 1 полугодие 202</w:t>
      </w:r>
      <w:r w:rsidR="00ED29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D294D" w:rsidRDefault="00ED294D" w:rsidP="00ED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Мушковичского сельского поселения Ярцевского района Смоленской области, утвержден постановлением Администрации Мушковичского сельского поселения от </w:t>
      </w:r>
      <w:r w:rsidRPr="00207E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207E60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22</w:t>
      </w:r>
      <w:r w:rsidRPr="00207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20-р</w:t>
      </w:r>
      <w:r w:rsidRPr="0088359B">
        <w:rPr>
          <w:rFonts w:ascii="Times New Roman" w:hAnsi="Times New Roman"/>
          <w:sz w:val="28"/>
          <w:szCs w:val="28"/>
        </w:rPr>
        <w:t>.</w:t>
      </w:r>
    </w:p>
    <w:p w:rsidR="00ED294D" w:rsidRPr="00ED294D" w:rsidRDefault="00ED294D" w:rsidP="00ED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94D">
        <w:rPr>
          <w:rFonts w:ascii="Times New Roman" w:hAnsi="Times New Roman"/>
          <w:sz w:val="28"/>
          <w:szCs w:val="28"/>
        </w:rPr>
        <w:t>Решением Совета депутатов Мушковичского сельского поселения Ярцевского района Смоленской области от 24.12.2021 №29 «О бюджете Мушковичского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 общий объем доходов и расходов на 2022 год в равнозначной сумме 5 029 800,00 рублей.</w:t>
      </w:r>
      <w:proofErr w:type="gramEnd"/>
    </w:p>
    <w:p w:rsidR="00ED294D" w:rsidRPr="00ED294D" w:rsidRDefault="00ED294D" w:rsidP="00ED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В ходе исполнения бюджета за 1 полугодие 2022 года в первоначально утвержденное решение Совета депутатов от 24.12.2021 №29 «О бюджете Мушковичского сельского поселения Ярцевского района Смоленской области на 2022 год и плановый период 2023 и 2024 годов» изменения не вносились.</w:t>
      </w:r>
    </w:p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1 полугодие 2022 года, составила 2 413 173,45 рублей или 48,0% от утвержденных бюджетных назначений на 2022 год. По сравнению с аналогичным  периодом прошлого года доходы бюджета увеличились на 328 239,66 рублей, что связано с увеличением налоговых доходов на сумму 45 818,63 рублей и увеличением объема безвозмездных поступлений на сумму 282 421,03 рублей.</w:t>
      </w:r>
    </w:p>
    <w:p w:rsidR="00ED294D" w:rsidRPr="00ED294D" w:rsidRDefault="00ED294D" w:rsidP="00ED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 xml:space="preserve">Уровень налоговых доходов в общей сумме поступлений составил 26,4% или 637 440,34 рублей (44,2% годового плана), безвозмездных поступлений 73,6% или 1 775 733,11 рублей (49,8% годового плана).  </w:t>
      </w:r>
    </w:p>
    <w:p w:rsidR="00ED294D" w:rsidRPr="00ED294D" w:rsidRDefault="00ED294D" w:rsidP="00ED294D">
      <w:pPr>
        <w:pStyle w:val="2"/>
        <w:ind w:firstLine="567"/>
        <w:rPr>
          <w:szCs w:val="28"/>
        </w:rPr>
      </w:pPr>
      <w:r w:rsidRPr="00ED294D">
        <w:rPr>
          <w:i/>
          <w:szCs w:val="28"/>
          <w:u w:val="single"/>
        </w:rPr>
        <w:t>Анализ исполнения доходной части бюджета  отражен в таблице</w:t>
      </w:r>
    </w:p>
    <w:tbl>
      <w:tblPr>
        <w:tblStyle w:val="a4"/>
        <w:tblW w:w="9885" w:type="dxa"/>
        <w:tblLayout w:type="fixed"/>
        <w:tblLook w:val="04A0"/>
      </w:tblPr>
      <w:tblGrid>
        <w:gridCol w:w="4077"/>
        <w:gridCol w:w="1560"/>
        <w:gridCol w:w="1559"/>
        <w:gridCol w:w="1559"/>
        <w:gridCol w:w="1130"/>
      </w:tblGrid>
      <w:tr w:rsidR="00ED294D" w:rsidRPr="00ED294D" w:rsidTr="000B454F">
        <w:trPr>
          <w:trHeight w:val="114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Исполнено</w:t>
            </w:r>
          </w:p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за</w:t>
            </w:r>
          </w:p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1 полугодие 2021 года</w:t>
            </w:r>
          </w:p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D294D">
              <w:rPr>
                <w:rFonts w:ascii="Times New Roman" w:hAnsi="Times New Roman"/>
              </w:rPr>
              <w:t>Утвержден-ные</w:t>
            </w:r>
            <w:proofErr w:type="spellEnd"/>
            <w:proofErr w:type="gramEnd"/>
            <w:r w:rsidRPr="00ED294D">
              <w:rPr>
                <w:rFonts w:ascii="Times New Roman" w:hAnsi="Times New Roman"/>
              </w:rPr>
              <w:t xml:space="preserve"> </w:t>
            </w:r>
          </w:p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доходы</w:t>
            </w:r>
          </w:p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на  2022 год</w:t>
            </w:r>
          </w:p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Исполнено за </w:t>
            </w:r>
          </w:p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 полугодие 2022 года</w:t>
            </w:r>
          </w:p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(руб.)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D294D">
              <w:rPr>
                <w:rFonts w:ascii="Times New Roman" w:hAnsi="Times New Roman"/>
              </w:rPr>
              <w:t>Испо-лнение</w:t>
            </w:r>
            <w:proofErr w:type="spellEnd"/>
            <w:proofErr w:type="gramEnd"/>
            <w:r w:rsidRPr="00ED294D">
              <w:rPr>
                <w:rFonts w:ascii="Times New Roman" w:hAnsi="Times New Roman"/>
              </w:rPr>
              <w:t xml:space="preserve">  </w:t>
            </w:r>
          </w:p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годового плана</w:t>
            </w:r>
          </w:p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(%)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591 621,71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1 461 700,00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637 440,34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 xml:space="preserve">43,6 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Налоговые доходы,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591 621,71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  <w:i/>
              </w:rPr>
            </w:pPr>
            <w:r w:rsidRPr="00ED294D">
              <w:rPr>
                <w:rFonts w:ascii="Times New Roman" w:hAnsi="Times New Roman"/>
                <w:i/>
              </w:rPr>
              <w:t>1 442 900,00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637 440,34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44,2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294D" w:rsidRPr="00ED294D" w:rsidTr="000B454F">
        <w:trPr>
          <w:trHeight w:val="48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107 614,70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289 100,00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119 959,47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D294D" w:rsidRPr="00ED294D" w:rsidTr="000B454F">
        <w:trPr>
          <w:trHeight w:val="1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 xml:space="preserve">-налоги на товары (работы, услуги), реализуемые на территории </w:t>
            </w:r>
            <w:r w:rsidRPr="00ED294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(акцизы)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lastRenderedPageBreak/>
              <w:t>195 424,05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425 400,00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230 384,52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ED294D" w:rsidRPr="00ED294D" w:rsidTr="000B454F">
        <w:trPr>
          <w:trHeight w:val="1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lastRenderedPageBreak/>
              <w:t>-единый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629,88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1 235,85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176,6</w:t>
            </w:r>
          </w:p>
        </w:tc>
      </w:tr>
      <w:tr w:rsidR="00ED294D" w:rsidRPr="00ED294D" w:rsidTr="000B454F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13 020,21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D294D">
              <w:rPr>
                <w:rFonts w:ascii="Times New Roman" w:hAnsi="Times New Roman"/>
                <w:i/>
              </w:rPr>
              <w:t>76 200,00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9 521,34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12,5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274 932,87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D294D">
              <w:rPr>
                <w:rFonts w:ascii="Times New Roman" w:hAnsi="Times New Roman"/>
                <w:i/>
              </w:rPr>
              <w:t>651 500,00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276 339,16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42,4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i/>
              </w:rPr>
            </w:pPr>
            <w:r w:rsidRPr="00ED294D">
              <w:rPr>
                <w:rFonts w:ascii="Times New Roman" w:hAnsi="Times New Roman"/>
                <w:i/>
              </w:rPr>
              <w:t>Неналоговые доходы,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ED294D">
              <w:rPr>
                <w:rFonts w:ascii="Times New Roman" w:hAnsi="Times New Roman"/>
                <w:i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18 800,00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294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1 493 312,08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3 568 100,00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1 775 733,11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-дотации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1 478 449,98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3 526 500,00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1 763 249,94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 xml:space="preserve">-субвенции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14 862,10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41 600,00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12 483,17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D294D" w:rsidRPr="00ED294D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94D" w:rsidRPr="00ED294D" w:rsidRDefault="00ED294D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2 084 933,79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5 029 800,00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2 413 173,45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94D" w:rsidRPr="00ED294D" w:rsidRDefault="00ED294D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</w:tbl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637 440,34 рублей или 43,6% к плановым назначениям 2022 года. </w:t>
      </w:r>
    </w:p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 отметить, что  общий объем  поступления налоговых доходов за 1 полугодие 2022 года по сравнению с аналогичным периодом прошлого года увеличился на  45 818,63 рублей.</w:t>
      </w:r>
    </w:p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со следующим удельным весом являются: земельный налог 43,4%; налоги на товары (работы, услуги), реализуемые на территории Российской Федерации (акцизы) 36,1%; налоги на прибыль, доходы (налог на доходы физических лиц) 18,8%.</w:t>
      </w:r>
    </w:p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Сумма безвозмездных поступлений за 1 полугодие 2022 года по сравнению с аналогичным периодом 2021 года увеличилась на 282 421,03  рублей и составила 1 775 733,11 рублей. Годовой план по безвозмездным поступлениям из других бюджетов бюджетной системы Российской Федерации выполнен на 49,8%.</w:t>
      </w:r>
    </w:p>
    <w:p w:rsidR="00ED294D" w:rsidRPr="00ED294D" w:rsidRDefault="00ED294D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99,3% или 1 763 249,94 рублей (исполнение 50,0%).</w:t>
      </w:r>
    </w:p>
    <w:p w:rsidR="00ED294D" w:rsidRPr="00ED294D" w:rsidRDefault="00ED294D" w:rsidP="00ED294D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94D">
        <w:rPr>
          <w:rFonts w:ascii="Times New Roman" w:hAnsi="Times New Roman" w:cs="Times New Roman"/>
          <w:sz w:val="28"/>
          <w:szCs w:val="28"/>
        </w:rPr>
        <w:t xml:space="preserve">      Субвенций на осуществление полномочий по первичному воинскому учету на территориях, где отсутствуют военные комиссариаты, поступили в сумме 12 483,17 рублей (исполнение 30,0%).</w:t>
      </w:r>
    </w:p>
    <w:p w:rsidR="00ED294D" w:rsidRPr="00ED294D" w:rsidRDefault="00ED294D" w:rsidP="00ED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01.07.2022 года (ф.0503117) расходы исполнены в объеме 1 718 072,06 рублей или 34,2% к утвержденным годовым назначениям.</w:t>
      </w:r>
    </w:p>
    <w:p w:rsidR="00ED294D" w:rsidRPr="00ED294D" w:rsidRDefault="00ED294D" w:rsidP="00ED2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уменьшились на 691 820,72 рублей  или на 28,7%.</w:t>
      </w:r>
    </w:p>
    <w:p w:rsidR="00ED294D" w:rsidRPr="00ED294D" w:rsidRDefault="00ED294D" w:rsidP="00ED294D">
      <w:pPr>
        <w:pStyle w:val="2"/>
        <w:ind w:firstLine="567"/>
        <w:jc w:val="both"/>
        <w:rPr>
          <w:szCs w:val="28"/>
        </w:rPr>
      </w:pPr>
      <w:r w:rsidRPr="00ED294D">
        <w:rPr>
          <w:szCs w:val="28"/>
        </w:rPr>
        <w:t>Характеристика расходной части бюджета за 1 полугодие 2022 года в разрезе разделов, подразделов классификации расходов представлена в таблице.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ED294D" w:rsidRPr="00ED294D" w:rsidTr="000B454F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lastRenderedPageBreak/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Исполнено</w:t>
            </w:r>
          </w:p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за</w:t>
            </w:r>
          </w:p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1 полугодие 2021 года</w:t>
            </w:r>
          </w:p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D294D">
              <w:rPr>
                <w:rFonts w:ascii="Times New Roman" w:hAnsi="Times New Roman"/>
              </w:rPr>
              <w:t>Утвержде</w:t>
            </w:r>
            <w:proofErr w:type="spellEnd"/>
            <w:r w:rsidRPr="00ED294D">
              <w:rPr>
                <w:rFonts w:ascii="Times New Roman" w:hAnsi="Times New Roman"/>
              </w:rPr>
              <w:t>-</w:t>
            </w:r>
          </w:p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ED294D">
              <w:rPr>
                <w:rFonts w:ascii="Times New Roman" w:hAnsi="Times New Roman"/>
              </w:rPr>
              <w:t>нные</w:t>
            </w:r>
            <w:proofErr w:type="spellEnd"/>
            <w:r w:rsidRPr="00ED294D">
              <w:rPr>
                <w:rFonts w:ascii="Times New Roman" w:hAnsi="Times New Roman"/>
              </w:rPr>
              <w:t xml:space="preserve"> </w:t>
            </w:r>
          </w:p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расходы</w:t>
            </w:r>
          </w:p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на 2022 год</w:t>
            </w:r>
          </w:p>
          <w:p w:rsidR="00ED294D" w:rsidRPr="00ED294D" w:rsidRDefault="00ED294D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Исполнено</w:t>
            </w:r>
          </w:p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за</w:t>
            </w:r>
          </w:p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 1 полугодие 2022 года</w:t>
            </w:r>
          </w:p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94D">
              <w:rPr>
                <w:rFonts w:ascii="Times New Roman" w:hAnsi="Times New Roman"/>
              </w:rPr>
              <w:t>Испо</w:t>
            </w:r>
            <w:proofErr w:type="spellEnd"/>
            <w:r w:rsidRPr="00ED294D">
              <w:rPr>
                <w:rFonts w:ascii="Times New Roman" w:hAnsi="Times New Roman"/>
              </w:rPr>
              <w:t>-</w:t>
            </w:r>
          </w:p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294D">
              <w:rPr>
                <w:rFonts w:ascii="Times New Roman" w:hAnsi="Times New Roman"/>
              </w:rPr>
              <w:t>лнение</w:t>
            </w:r>
            <w:proofErr w:type="spellEnd"/>
            <w:r w:rsidRPr="00ED294D">
              <w:rPr>
                <w:rFonts w:ascii="Times New Roman" w:hAnsi="Times New Roman"/>
              </w:rPr>
              <w:t xml:space="preserve"> годового плана</w:t>
            </w:r>
          </w:p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(%)</w:t>
            </w:r>
          </w:p>
        </w:tc>
      </w:tr>
      <w:tr w:rsidR="00ED294D" w:rsidRPr="00ED294D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2 107 035,18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2 653 095,43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1 057 769,46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39,9</w:t>
            </w:r>
          </w:p>
        </w:tc>
      </w:tr>
      <w:tr w:rsidR="00ED294D" w:rsidRPr="00ED294D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353 228,59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567 501,44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227 181,84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40,0</w:t>
            </w:r>
          </w:p>
        </w:tc>
      </w:tr>
      <w:tr w:rsidR="00ED294D" w:rsidRPr="00ED294D" w:rsidTr="000B454F">
        <w:trPr>
          <w:trHeight w:val="14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1 732 046,50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2 051 646,87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808 640,50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39,4</w:t>
            </w:r>
          </w:p>
        </w:tc>
      </w:tr>
      <w:tr w:rsidR="00ED294D" w:rsidRPr="00ED294D" w:rsidTr="000B454F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18 760,09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20 947,12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18 947,12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90,5</w:t>
            </w:r>
          </w:p>
        </w:tc>
      </w:tr>
      <w:tr w:rsidR="00ED294D" w:rsidRPr="00ED294D" w:rsidTr="000B454F">
        <w:trPr>
          <w:trHeight w:val="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D294D" w:rsidRPr="00ED294D" w:rsidTr="000B454F">
        <w:trPr>
          <w:trHeight w:val="5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4D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D294D" w:rsidRPr="00ED294D" w:rsidTr="000B454F">
        <w:trPr>
          <w:trHeight w:val="2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14 862,10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12 483,17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33,5</w:t>
            </w:r>
          </w:p>
        </w:tc>
      </w:tr>
      <w:tr w:rsidR="00ED294D" w:rsidRPr="00ED294D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14 862,10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37 300,00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12 483,17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33,5</w:t>
            </w:r>
          </w:p>
        </w:tc>
      </w:tr>
      <w:tr w:rsidR="00ED294D" w:rsidRPr="00ED294D" w:rsidTr="000B454F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49 931,34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49 614,38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99,2</w:t>
            </w:r>
          </w:p>
        </w:tc>
      </w:tr>
      <w:tr w:rsidR="00ED294D" w:rsidRPr="00ED294D" w:rsidTr="000B454F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49 931,34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49 614,38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99,2</w:t>
            </w:r>
          </w:p>
        </w:tc>
      </w:tr>
      <w:tr w:rsidR="00ED294D" w:rsidRPr="00ED294D" w:rsidTr="000B454F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605 400,00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59 667,20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9,9</w:t>
            </w:r>
          </w:p>
        </w:tc>
      </w:tr>
      <w:tr w:rsidR="00ED294D" w:rsidRPr="00ED294D" w:rsidTr="000B454F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525 400,00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59 667,20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11,4</w:t>
            </w:r>
          </w:p>
        </w:tc>
      </w:tr>
      <w:tr w:rsidR="00ED294D" w:rsidRPr="00ED294D" w:rsidTr="000B454F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 другие вопросы в области национальной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ED294D" w:rsidRPr="00ED294D" w:rsidTr="000B454F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203 855,43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1 607 704,57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502 261,73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31,2</w:t>
            </w:r>
          </w:p>
        </w:tc>
      </w:tr>
      <w:tr w:rsidR="00ED294D" w:rsidRPr="00ED294D" w:rsidTr="000B454F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102 492,10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1 059 704,57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403 932,89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38,1</w:t>
            </w:r>
          </w:p>
        </w:tc>
      </w:tr>
      <w:tr w:rsidR="00ED294D" w:rsidRPr="00ED294D" w:rsidTr="000B454F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101 363,33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548 000,00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98 328,84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17,9</w:t>
            </w:r>
          </w:p>
        </w:tc>
      </w:tr>
      <w:tr w:rsidR="00ED294D" w:rsidRPr="00ED294D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34 208,73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72 000,00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36 276,12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50,4</w:t>
            </w:r>
          </w:p>
        </w:tc>
      </w:tr>
      <w:tr w:rsidR="00ED294D" w:rsidRPr="00ED294D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 xml:space="preserve">- 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34 208,73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72 000,00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36 276,12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50,4</w:t>
            </w:r>
          </w:p>
        </w:tc>
      </w:tr>
      <w:tr w:rsidR="00ED294D" w:rsidRPr="00ED294D" w:rsidTr="000B454F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2 409 892,78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5 025 500,00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94D">
              <w:rPr>
                <w:rFonts w:ascii="Times New Roman" w:hAnsi="Times New Roman"/>
              </w:rPr>
              <w:t>1 718 072,06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4D" w:rsidRPr="00ED294D" w:rsidRDefault="00ED294D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D294D">
              <w:rPr>
                <w:rFonts w:ascii="Times New Roman" w:hAnsi="Times New Roman"/>
                <w:lang w:eastAsia="en-US"/>
              </w:rPr>
              <w:t>34,2</w:t>
            </w:r>
          </w:p>
        </w:tc>
      </w:tr>
    </w:tbl>
    <w:p w:rsidR="00ED294D" w:rsidRDefault="00ED294D" w:rsidP="00ED2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294D" w:rsidRPr="00ED294D" w:rsidRDefault="00ED294D" w:rsidP="00ED2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94D">
        <w:rPr>
          <w:rFonts w:ascii="Times New Roman" w:hAnsi="Times New Roman"/>
          <w:sz w:val="28"/>
          <w:szCs w:val="28"/>
        </w:rPr>
        <w:t>Наибольший удельный вес в расходах поселения занимают  вопросы, связанные с общегосударственными вопросами (61,6%), а также жилищно-коммунальным хозяйством (29,2%).</w:t>
      </w:r>
    </w:p>
    <w:p w:rsidR="00782FBE" w:rsidRPr="00124D44" w:rsidRDefault="00782FBE" w:rsidP="00ED29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82FBE" w:rsidRPr="00124D4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B39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94D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2021-09-08T06:15:00Z</dcterms:created>
  <dcterms:modified xsi:type="dcterms:W3CDTF">2022-08-18T11:40:00Z</dcterms:modified>
</cp:coreProperties>
</file>