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C0" w:rsidRDefault="004668A2" w:rsidP="00C81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811C0"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27</w:t>
      </w:r>
      <w:r w:rsidR="00C811C0" w:rsidRPr="006132A4">
        <w:rPr>
          <w:rFonts w:ascii="Times New Roman" w:hAnsi="Times New Roman" w:cs="Times New Roman"/>
          <w:b/>
          <w:sz w:val="28"/>
          <w:szCs w:val="28"/>
        </w:rPr>
        <w:t>.12.20</w:t>
      </w:r>
      <w:r w:rsidR="00C811C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811C0" w:rsidRPr="006132A4">
        <w:rPr>
          <w:rFonts w:ascii="Times New Roman" w:hAnsi="Times New Roman" w:cs="Times New Roman"/>
          <w:b/>
          <w:sz w:val="28"/>
          <w:szCs w:val="28"/>
        </w:rPr>
        <w:t>№</w:t>
      </w:r>
      <w:r w:rsidR="00C811C0">
        <w:rPr>
          <w:rFonts w:ascii="Times New Roman" w:hAnsi="Times New Roman" w:cs="Times New Roman"/>
          <w:b/>
          <w:sz w:val="28"/>
          <w:szCs w:val="28"/>
        </w:rPr>
        <w:t>30 «О бюджете Суетовского сельского поселения Ярцевского района Смоленской области на 2022 год и плановый период 2023 и 2024 годов»</w:t>
      </w:r>
    </w:p>
    <w:p w:rsidR="00C811C0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C811C0" w:rsidRPr="00BF1B03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1C7261" w:rsidRDefault="001C7261" w:rsidP="001C7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27.12.2021 №30 (в редакции решений от 27.04.2022 №16; от 08.09.2022 №27; от 17.11.2022 №10) утвержден общий объем доходов в сумме 10 300 000,00 рублей и общий объем расходов в сумме 10 899 704,55 рублей.   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Дефицит бюджета утвержден в сумме 599 704,55 рублей.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214 100,00 рублей, в результате чего доходная часть бюджета составит 10 514 100,00 рублей, расходная часть бюджета составит 11 113 804,55 рублей. 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599 704,55 рублей.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- уточнением плановых назначений по налоговым</w:t>
      </w:r>
      <w:r>
        <w:rPr>
          <w:rFonts w:ascii="Times New Roman" w:hAnsi="Times New Roman" w:cs="Times New Roman"/>
          <w:sz w:val="28"/>
          <w:szCs w:val="28"/>
        </w:rPr>
        <w:t xml:space="preserve"> и неналоговым поступлениям;</w:t>
      </w:r>
    </w:p>
    <w:p w:rsid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1C7261" w:rsidRDefault="001C7261" w:rsidP="001C726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214 100,00 рублей и составит 10 514 100,00 рублей. 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 xml:space="preserve">Плановые назначения по налоговым и неналоговым доходам проектом решения предусмотрено увеличить на сумму 214 100,00 рублей. 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lastRenderedPageBreak/>
        <w:t>Плановые назначения по налоговым доходам проектом решения предусматривается увеличить на сумму 125 000,00 рублей, которые составят 4 281 800,00 рублей, а именно: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 xml:space="preserve">-налоги на товары (работы и услуги) реализуемые на территории Российской Федерации на 214 100,00 рублей; 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-земельный налог на 300,00 рублей;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-единый сельскохозяйственный налог на 10 600,00 рублей.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Вместе с тем по налогу на имущество физических лиц предусматривается уменьшение плановых назначений на сумму 100 000,00 рублей.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Плановые назначения по неналоговым доходам предусматривается увеличить на сумму 89 100,00 рублей, из них: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на 20 200,00 рублей;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>-прочие поступления от использования имущества, находящегося в собственности сельских поселений на 7 200,00 рублей;</w:t>
      </w:r>
    </w:p>
    <w:p w:rsidR="00C811C0" w:rsidRPr="00B449C4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61">
        <w:rPr>
          <w:rFonts w:ascii="Times New Roman" w:hAnsi="Times New Roman" w:cs="Times New Roman"/>
          <w:sz w:val="28"/>
          <w:szCs w:val="28"/>
        </w:rPr>
        <w:t xml:space="preserve">-доходы от реализации иного имущества, находящегося в собственности сельских поселений на 61 700,00 рублей. </w:t>
      </w:r>
      <w:r w:rsidR="00C811C0"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1C7261" w:rsidRP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увеличивается на </w:t>
      </w:r>
      <w:r w:rsidRPr="001C7261">
        <w:rPr>
          <w:rFonts w:ascii="Times New Roman" w:hAnsi="Times New Roman" w:cs="Times New Roman"/>
          <w:sz w:val="28"/>
          <w:szCs w:val="28"/>
        </w:rPr>
        <w:t>214 100,00</w:t>
      </w:r>
      <w:r w:rsidRPr="001C7261">
        <w:rPr>
          <w:rFonts w:ascii="Times New Roman" w:hAnsi="Times New Roman"/>
          <w:sz w:val="28"/>
          <w:szCs w:val="28"/>
        </w:rPr>
        <w:t xml:space="preserve"> рублей и составит </w:t>
      </w:r>
      <w:r w:rsidRPr="001C7261">
        <w:rPr>
          <w:rFonts w:ascii="Times New Roman" w:hAnsi="Times New Roman" w:cs="Times New Roman"/>
          <w:spacing w:val="6"/>
          <w:sz w:val="28"/>
          <w:szCs w:val="28"/>
        </w:rPr>
        <w:t>11 113 804,55 рублей</w:t>
      </w:r>
      <w:r w:rsidRPr="001C7261">
        <w:rPr>
          <w:rFonts w:ascii="Times New Roman" w:hAnsi="Times New Roman"/>
          <w:sz w:val="28"/>
          <w:szCs w:val="28"/>
        </w:rPr>
        <w:t>.</w:t>
      </w:r>
    </w:p>
    <w:p w:rsid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7261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Суетовского сельского поселения Ярцевского района Смоленской области</w:t>
      </w:r>
    </w:p>
    <w:p w:rsidR="001C7261" w:rsidRDefault="001C7261" w:rsidP="001C7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таблице:</w:t>
      </w:r>
    </w:p>
    <w:p w:rsidR="001C7261" w:rsidRPr="00814FCE" w:rsidRDefault="001C7261" w:rsidP="001C7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7261" w:rsidRDefault="001C7261" w:rsidP="001C72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559"/>
        <w:gridCol w:w="1584"/>
      </w:tblGrid>
      <w:tr w:rsidR="001C7261" w:rsidRPr="001C7261" w:rsidTr="000B454F">
        <w:trPr>
          <w:trHeight w:val="10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(гр.3 – гр. 2)</w:t>
            </w:r>
          </w:p>
        </w:tc>
      </w:tr>
      <w:tr w:rsidR="001C7261" w:rsidRPr="001C7261" w:rsidTr="000B454F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4</w:t>
            </w:r>
          </w:p>
        </w:tc>
      </w:tr>
      <w:tr w:rsidR="001C7261" w:rsidRPr="001C7261" w:rsidTr="000B454F">
        <w:trPr>
          <w:trHeight w:val="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5 736 168,17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5 786 791,48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+50 623,31</w:t>
            </w:r>
          </w:p>
        </w:tc>
      </w:tr>
      <w:tr w:rsidR="001C7261" w:rsidRPr="001C7261" w:rsidTr="000B454F">
        <w:trPr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596 732,90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596 732,90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261" w:rsidRPr="001C7261" w:rsidRDefault="001C7261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4 796 218,79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261" w:rsidRPr="001C7261" w:rsidRDefault="001C7261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4 846 842,10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+50 623,31</w:t>
            </w:r>
          </w:p>
        </w:tc>
      </w:tr>
      <w:tr w:rsidR="001C7261" w:rsidRPr="001C7261" w:rsidTr="000B454F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25 181,28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25 181,28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5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lastRenderedPageBreak/>
              <w:t xml:space="preserve">-обеспечение проведения выборов и референдумов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294 035,20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294 035,20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295 700,00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295 700,00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295 700,00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295 700,00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43 376,69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-26 623,31</w:t>
            </w:r>
          </w:p>
        </w:tc>
      </w:tr>
      <w:tr w:rsidR="001C7261" w:rsidRPr="001C7261" w:rsidTr="000B454F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43 376,69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-26 623,31</w:t>
            </w:r>
          </w:p>
        </w:tc>
      </w:tr>
      <w:tr w:rsidR="001C7261" w:rsidRPr="001C7261" w:rsidTr="000B454F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1 974 963,10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2 189 063,10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+214 100,00</w:t>
            </w:r>
          </w:p>
        </w:tc>
      </w:tr>
      <w:tr w:rsidR="001C7261" w:rsidRPr="001C7261" w:rsidTr="000B454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1 754 963,10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1 969 063,10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+214 100,00</w:t>
            </w:r>
          </w:p>
        </w:tc>
      </w:tr>
      <w:tr w:rsidR="001C7261" w:rsidRPr="001C7261" w:rsidTr="000B454F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2 665 964,26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2 641 964,26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-24 000,00</w:t>
            </w:r>
          </w:p>
        </w:tc>
      </w:tr>
      <w:tr w:rsidR="001C7261" w:rsidRPr="001C7261" w:rsidTr="000B454F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451 065,10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451 065,10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676 497,46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652 497,46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-24 000,00</w:t>
            </w:r>
          </w:p>
        </w:tc>
      </w:tr>
      <w:tr w:rsidR="001C7261" w:rsidRPr="001C7261" w:rsidTr="000B454F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1 538 401,70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1 538 401,70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156 909,02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156 909,02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156 909,02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156 909,02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-</w:t>
            </w:r>
          </w:p>
        </w:tc>
      </w:tr>
      <w:tr w:rsidR="001C7261" w:rsidRPr="001C7261" w:rsidTr="000B454F">
        <w:trPr>
          <w:trHeight w:val="2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10 899 704,55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11 113 804,55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61" w:rsidRPr="001C7261" w:rsidRDefault="001C7261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61">
              <w:rPr>
                <w:rFonts w:ascii="Times New Roman" w:hAnsi="Times New Roman" w:cs="Times New Roman"/>
              </w:rPr>
              <w:t>+214 100,00</w:t>
            </w:r>
          </w:p>
        </w:tc>
      </w:tr>
    </w:tbl>
    <w:p w:rsidR="00C811C0" w:rsidRDefault="00C811C0" w:rsidP="00C811C0"/>
    <w:p w:rsidR="001C7261" w:rsidRPr="00B449C4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1C7261" w:rsidRDefault="001C7261" w:rsidP="001C7261"/>
    <w:p w:rsidR="00C811C0" w:rsidRPr="00BB4907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11C0" w:rsidRPr="00BB490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2021-09-20T05:57:00Z</dcterms:created>
  <dcterms:modified xsi:type="dcterms:W3CDTF">2022-12-14T08:15:00Z</dcterms:modified>
</cp:coreProperties>
</file>