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3D" w:rsidRPr="003E1450" w:rsidRDefault="004668A2" w:rsidP="00E3413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450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E1450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E1450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E3413D" w:rsidRPr="003E1450">
        <w:rPr>
          <w:rFonts w:ascii="Times New Roman" w:hAnsi="Times New Roman" w:cs="Times New Roman"/>
          <w:b/>
          <w:sz w:val="28"/>
          <w:szCs w:val="28"/>
        </w:rPr>
        <w:t>Ярцевского районного Совета депутатов                          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подготовлено в соответствии с Положением о Контрольно-ревизионной комиссии муниципального образования «Ярцевский район» Смоленской области утвержденным  решением Ярцевского районного Совета депутатов от 25.08.2021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>78 и на основании Положения о бюджетном процессе  в муниципальном образовании «Ярцевский район» Смоленской области от 28.04.2010 №70 (в редакции решений Ярцевского районного Совета депутатов от 30.11.2011 №116, от 28.04.2012  №43, от 27.11.2013 №120, от 26.11.2014  №98, от 25.11.2015 №90, от 27.04.2016 №29, от 30.11.2016  №64, от 25.10.2017 №88, от 25.03.2020 № 33, от 28.10.2020 №90, от 27.10.2021 №115, 30.11.2022 №158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, 21.12.2022 №164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.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(далее - проект решения)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3E1450" w:rsidRPr="00343311" w:rsidRDefault="003E1450" w:rsidP="003E145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Представленный на экспертизу проект решения разработан с целью  уточнения доходной и расходной частей бюджета на 2024 год с равнозначным увеличением в сумме 110 586,6 тыс. рублей, в результате дефицит бюджета остается на ранее утвержденном уровне 11 179,8 тыс. рублей.</w:t>
      </w:r>
    </w:p>
    <w:p w:rsidR="003E1450" w:rsidRPr="00343311" w:rsidRDefault="003E1450" w:rsidP="003E145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Так же предусмотрено перераспределение бюджетных назначений по разделам, подразделам, целевым статьям и видам расходов.</w:t>
      </w:r>
    </w:p>
    <w:p w:rsidR="003E1450" w:rsidRPr="00343311" w:rsidRDefault="003E1450" w:rsidP="003E145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На плановый период 2025 года предлагается перераспределение бюджетных назначений.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В результате вносимых изменений в объем плановых доходов местного бюджета на 2024 год за счет дополнительного планирования налоговых и безвозмездных поступлений увеличится на 110 586,6 тыс. рублей (+8,5%) и составит 1 413 252,0 тыс. рублей. 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lastRenderedPageBreak/>
        <w:t>Налоговые доходы уточняются с приростом 7,6%, что в денежном выражении составляет 20 500,0 тыс. рублей. Данный прирост обеспечен дополнительным планированием: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- </w:t>
      </w:r>
      <w:r w:rsidRPr="00343311">
        <w:rPr>
          <w:rFonts w:ascii="Times New Roman" w:hAnsi="Times New Roman" w:cs="Times New Roman"/>
          <w:sz w:val="28"/>
          <w:szCs w:val="28"/>
          <w:u w:val="single"/>
        </w:rPr>
        <w:t>налог на доходы физических лиц</w:t>
      </w:r>
      <w:r w:rsidRPr="00343311">
        <w:rPr>
          <w:rFonts w:ascii="Times New Roman" w:hAnsi="Times New Roman" w:cs="Times New Roman"/>
          <w:sz w:val="28"/>
          <w:szCs w:val="28"/>
        </w:rPr>
        <w:t xml:space="preserve"> с приростом на 7,1% увеличится на 17 000,0 тыс. рублей;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- </w:t>
      </w:r>
      <w:r w:rsidRPr="00343311">
        <w:rPr>
          <w:rFonts w:ascii="Times New Roman" w:hAnsi="Times New Roman" w:cs="Times New Roman"/>
          <w:sz w:val="28"/>
          <w:szCs w:val="28"/>
          <w:u w:val="single"/>
        </w:rPr>
        <w:t>налоги на совокупный доход</w:t>
      </w:r>
      <w:r w:rsidRPr="00343311">
        <w:rPr>
          <w:rFonts w:ascii="Times New Roman" w:hAnsi="Times New Roman" w:cs="Times New Roman"/>
          <w:sz w:val="28"/>
          <w:szCs w:val="28"/>
        </w:rPr>
        <w:t>, за счет налога, взимаемого в связи с применением упрощенной системы налогообложения, с приростом 16,7% увеличатся на 3 500,0 тыс. рублей.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Уточняемый объем безвозмездных поступлений в бюджет предусмотрен с приростом 8,8%, что в денежном выражении составляет 90 086,6 тыс. рублей. 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Дополнительные поступления планируются: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- </w:t>
      </w:r>
      <w:r w:rsidRPr="00343311">
        <w:rPr>
          <w:rFonts w:ascii="Times New Roman" w:hAnsi="Times New Roman" w:cs="Times New Roman"/>
          <w:sz w:val="28"/>
          <w:szCs w:val="28"/>
          <w:u w:val="single"/>
        </w:rPr>
        <w:t>дотация</w:t>
      </w:r>
      <w:r w:rsidRPr="00343311">
        <w:rPr>
          <w:rFonts w:ascii="Times New Roman" w:hAnsi="Times New Roman" w:cs="Times New Roman"/>
          <w:sz w:val="28"/>
          <w:szCs w:val="28"/>
        </w:rPr>
        <w:t xml:space="preserve"> с приростом 3,0% увеличивается на 11 024,0 тыс. рублей;</w:t>
      </w:r>
    </w:p>
    <w:p w:rsidR="003E1450" w:rsidRPr="00343311" w:rsidRDefault="003E1450" w:rsidP="003E14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- </w:t>
      </w:r>
      <w:r w:rsidRPr="00343311">
        <w:rPr>
          <w:rFonts w:ascii="Times New Roman" w:hAnsi="Times New Roman" w:cs="Times New Roman"/>
          <w:sz w:val="28"/>
          <w:szCs w:val="28"/>
          <w:u w:val="single"/>
        </w:rPr>
        <w:t>субсидии</w:t>
      </w:r>
      <w:r w:rsidRPr="00343311">
        <w:rPr>
          <w:rFonts w:ascii="Times New Roman" w:hAnsi="Times New Roman" w:cs="Times New Roman"/>
          <w:sz w:val="28"/>
          <w:szCs w:val="28"/>
        </w:rPr>
        <w:t xml:space="preserve"> с приростом 24,7% увеличиваются на 23 655,9 тыс. рублей с последующим направлением на разработку и внесение изменений в генеральные планы и правила землепользования и застройки поселений, предоставление грантов субъектам малого и среднего предпринимательства, обновление (укрепление) материально-технической базы образовательных учреждений. Так же ожидается поступление субсидий из резервного фонда Правительства Смоленской области;</w:t>
      </w:r>
    </w:p>
    <w:p w:rsidR="003E1450" w:rsidRPr="00343311" w:rsidRDefault="003E1450" w:rsidP="003E1450">
      <w:pPr>
        <w:pStyle w:val="Style4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343311">
        <w:rPr>
          <w:rStyle w:val="FontStyle28"/>
          <w:sz w:val="28"/>
          <w:szCs w:val="28"/>
        </w:rPr>
        <w:t xml:space="preserve">- </w:t>
      </w:r>
      <w:r w:rsidRPr="00343311">
        <w:rPr>
          <w:rStyle w:val="FontStyle28"/>
          <w:sz w:val="28"/>
          <w:szCs w:val="28"/>
          <w:u w:val="single"/>
        </w:rPr>
        <w:t>субвенции</w:t>
      </w:r>
      <w:r w:rsidRPr="00343311">
        <w:rPr>
          <w:rStyle w:val="FontStyle28"/>
          <w:sz w:val="28"/>
          <w:szCs w:val="28"/>
        </w:rPr>
        <w:t xml:space="preserve"> увеличиваются на 54 416,0 тыс. рублей (прирост 9,8%), которые планируется направить на выполнение передаваемых полномочий субъектов РФ, на государственную регистрацию актов гражданского состояния, на ежемесячное вознаграждение за классное руководство;</w:t>
      </w:r>
    </w:p>
    <w:p w:rsidR="003E1450" w:rsidRPr="00343311" w:rsidRDefault="003E1450" w:rsidP="003E1450">
      <w:pPr>
        <w:pStyle w:val="Style4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343311">
        <w:rPr>
          <w:rStyle w:val="FontStyle28"/>
          <w:sz w:val="28"/>
          <w:szCs w:val="28"/>
        </w:rPr>
        <w:t xml:space="preserve">- </w:t>
      </w:r>
      <w:r w:rsidRPr="00343311">
        <w:rPr>
          <w:rStyle w:val="FontStyle28"/>
          <w:sz w:val="28"/>
          <w:szCs w:val="28"/>
          <w:u w:val="single"/>
        </w:rPr>
        <w:t>иные межбюджетные трансферты</w:t>
      </w:r>
      <w:r w:rsidRPr="00343311">
        <w:rPr>
          <w:rStyle w:val="FontStyle28"/>
          <w:sz w:val="28"/>
          <w:szCs w:val="28"/>
        </w:rPr>
        <w:t xml:space="preserve"> планируется увеличить на 990,7 тыс. рублей с приростом 23,7%, направить на решение вопросов местного значения в соответствии с заключенными соглашениями, а так же на поощрение муниципальных управленческих команд.</w:t>
      </w:r>
    </w:p>
    <w:p w:rsidR="003E1450" w:rsidRPr="00343311" w:rsidRDefault="003E1450" w:rsidP="003E1450">
      <w:pPr>
        <w:pStyle w:val="Style4"/>
        <w:widowControl/>
        <w:spacing w:line="240" w:lineRule="auto"/>
        <w:ind w:firstLine="709"/>
        <w:rPr>
          <w:rStyle w:val="FontStyle28"/>
          <w:sz w:val="10"/>
          <w:szCs w:val="10"/>
        </w:rPr>
      </w:pP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1450" w:rsidRPr="00343311" w:rsidRDefault="003E1450" w:rsidP="003E1450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Информация об изменении доходов бюджета муниципального образования «Ярцевский район» Смоленской области представлена в следующей таблице. </w:t>
      </w:r>
    </w:p>
    <w:p w:rsidR="003E1450" w:rsidRPr="00343311" w:rsidRDefault="003E1450" w:rsidP="003E1450">
      <w:pPr>
        <w:pStyle w:val="a4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9748" w:type="dxa"/>
        <w:tblLayout w:type="fixed"/>
        <w:tblLook w:val="04A0"/>
      </w:tblPr>
      <w:tblGrid>
        <w:gridCol w:w="4361"/>
        <w:gridCol w:w="1559"/>
        <w:gridCol w:w="1276"/>
        <w:gridCol w:w="1417"/>
        <w:gridCol w:w="1135"/>
      </w:tblGrid>
      <w:tr w:rsidR="003E1450" w:rsidRPr="00343311" w:rsidTr="00E4099C">
        <w:trPr>
          <w:trHeight w:val="75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Наименование  вида (подвида)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 xml:space="preserve">назначения, 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на 2024 год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Проект решения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 xml:space="preserve"> </w:t>
            </w: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Отклонение</w:t>
            </w:r>
          </w:p>
          <w:p w:rsidR="003E1450" w:rsidRPr="00343311" w:rsidRDefault="003E1450" w:rsidP="00E4099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(гр.3-гр.2)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ind w:left="-108" w:righ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Динамика (</w:t>
            </w: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прирост/</w:t>
            </w:r>
            <w:proofErr w:type="gramEnd"/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снижение</w:t>
            </w: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(%)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5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277 537,9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298 037,9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+20 500,0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+7,4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269 047,8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289 547,8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+20 500,0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+7,6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237 862,8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254 862,8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+17 000,00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+7,1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налоги на совокупный доход из них: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20 971,8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24 471,8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+3 500,0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+16,7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12 773,2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16 273,2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+3 500,0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+24,7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единый налог на  вмененный доход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налог, взимаемый в связи с   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налоги на имущество (налог на игорный бизнес)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- налоги, сборы и регулярные платежи за пользование </w:t>
            </w:r>
            <w:proofErr w:type="gramStart"/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природным</w:t>
            </w:r>
            <w:proofErr w:type="gramEnd"/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государственная пошлина, сборы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задолженность за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526,4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526,4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firstLine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доходы от приватизации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Безвозмездные поступления: 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1 025 127,5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1 115 214,1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+90 086,6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+8,8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369 316,0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+11 024,0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+3,0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 xml:space="preserve">- субсидии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95 932,4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119 588,3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+23 655,9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+24,7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- субвенции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555 690,6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610 106,6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+54 416,0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+9,8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-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4 188,5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5 179,2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+990,7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+23,7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доходы от возврата остатков субсидий, субвенций и иных межбюджетных</w:t>
            </w:r>
          </w:p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-возврат  остатков субсидий, субвенций и иных межбюджетных</w:t>
            </w:r>
          </w:p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311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1 302 665,4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1 413 252,0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+110 586,6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+8,5  </w:t>
            </w:r>
          </w:p>
        </w:tc>
      </w:tr>
    </w:tbl>
    <w:p w:rsidR="003E1450" w:rsidRPr="00343311" w:rsidRDefault="003E1450" w:rsidP="003E1450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1450" w:rsidRPr="00343311" w:rsidRDefault="003E1450" w:rsidP="003E145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Плановые назначения по доходам на 2025 и 2026 годы остаются на ранее утвержденном уровне.</w:t>
      </w:r>
    </w:p>
    <w:p w:rsidR="006E2A20" w:rsidRPr="00343311" w:rsidRDefault="006E2A20" w:rsidP="006E2A2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1450" w:rsidRPr="00343311" w:rsidRDefault="003E1450" w:rsidP="003E1450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Информация об изменениях бюджетных ассигнований в 2024 году по разделам и подразделам классификации расходов приведена в таблице.</w:t>
      </w:r>
    </w:p>
    <w:p w:rsidR="003E1450" w:rsidRPr="00343311" w:rsidRDefault="003E1450" w:rsidP="003E1450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1450" w:rsidRPr="00343311" w:rsidRDefault="003E1450" w:rsidP="003E1450">
      <w:pPr>
        <w:pStyle w:val="a4"/>
        <w:spacing w:after="0"/>
        <w:ind w:left="142"/>
        <w:jc w:val="right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Style w:val="a3"/>
        <w:tblW w:w="9898" w:type="dxa"/>
        <w:tblInd w:w="108" w:type="dxa"/>
        <w:tblLayout w:type="fixed"/>
        <w:tblLook w:val="04A0"/>
      </w:tblPr>
      <w:tblGrid>
        <w:gridCol w:w="3680"/>
        <w:gridCol w:w="1990"/>
        <w:gridCol w:w="1408"/>
        <w:gridCol w:w="1569"/>
        <w:gridCol w:w="1251"/>
      </w:tblGrid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Наименование раздела  и подраздела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назначения,  на 2024 год</w:t>
            </w:r>
          </w:p>
          <w:p w:rsidR="003E1450" w:rsidRPr="00343311" w:rsidRDefault="003E1450" w:rsidP="00E4099C">
            <w:pPr>
              <w:pStyle w:val="a4"/>
              <w:ind w:left="-91"/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ind w:left="-117" w:right="-97"/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Проект решения (тыс. рублей)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Отклонение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(гр.3-гр.2)</w:t>
            </w:r>
          </w:p>
          <w:p w:rsidR="003E1450" w:rsidRPr="00343311" w:rsidRDefault="003E1450" w:rsidP="00E4099C">
            <w:pPr>
              <w:pStyle w:val="a4"/>
              <w:ind w:left="-119" w:right="-95"/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(тыс. рублей)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43311">
              <w:rPr>
                <w:rFonts w:ascii="Times New Roman" w:hAnsi="Times New Roman" w:cs="Times New Roman"/>
              </w:rPr>
              <w:t>Динамика (прирост/</w:t>
            </w:r>
            <w:proofErr w:type="gramEnd"/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снижение)</w:t>
            </w:r>
          </w:p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t>(%)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</w:rPr>
            </w:pPr>
            <w:r w:rsidRPr="00343311">
              <w:rPr>
                <w:rFonts w:ascii="Times New Roman" w:hAnsi="Times New Roman" w:cs="Times New Roman"/>
              </w:rPr>
              <w:lastRenderedPageBreak/>
              <w:t>Всего расходы бюджета: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1 313 845,3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1 424 431,8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110 586,6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8,4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Общегосударственные вопросы (раздел 0100)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133 838,5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135 627,3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1 788,8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1,3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-функционирование высшего должностного лица субъекта Российской Федерации и муниципального образования (подраздел 0102)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2 923,4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3 223,4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10,3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-функционирование законодательных   (представительных) органов государственной власти и представительных органов муниципальных образований (подраздел 0103)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2 195,3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2 195,3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0104)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37 009,8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37 983,5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973,7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1450" w:rsidRPr="00343311" w:rsidRDefault="003E1450" w:rsidP="00E4099C">
            <w:pPr>
              <w:tabs>
                <w:tab w:val="center" w:pos="237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-судебная система (подраздел 0105)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-обеспечение деятельности финансовых, налоговых и таможенных органов и органов финансового (финансово-бюджетного) надзора (подраздел 0106)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14 199,1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резервные фонды (подраздел 0111)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-950,0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-95,0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-другие общегосударственные вопросы (подраздел 0113)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76 508,9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77 733,1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1 224,2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1,6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 (раздел 0400)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33 482,1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35 349,7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1 867,6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-сельское хозяйство и рыболовство (подраздел 0405)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транспорт (подраздел 0408)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дорожное хозяйство (дорожные фонды) (подраздел 0409)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национальной экономики (подраздел 0412)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1 136,0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1 867,6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164,4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Жилищно - коммунальное хозяйство (раздел 0500)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9 204,5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9 220,9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жилищное хозяйство (подраздел 0501)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коммунальное хозяйство (подраздел 0502)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 xml:space="preserve">-другие вопросы в области жилищно-коммунального  хозяйства  (подраздел 0505)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8 195,1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8 182,1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-13,0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-0,2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 (раздел 0600)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другие вопросы в области окружающей среды (подраздел 0605)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Образование (раздел 0700)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862 968,3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929 191,9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66 223,6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7,7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-дошкольное образование (подраздел 0701)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263 612,0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276 399,0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12 787,0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4,9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-общее образование (подраздел 0702)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491 506,3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542 603,2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51 096,9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10,4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-дополнительное образование детей (подраздел 0703)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73 070,0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75 331,3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2 261,3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3,1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-профессиональная подготовка, переподготовка и повышение квалификации (подраздел 0705)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-молодежная политика (подраздел 0707)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-другие вопросы в области образования  (подраздел 0709)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10 093,7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78,5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0,8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Культура,  кинематография (раздел 0800)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78 019,0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86 628,8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8 609,8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культура  (подраздел 0801)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74 786,1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8 579,7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11,5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другие вопросы в области культуры,  кинематографии  (подраздел 0804)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3 232,9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3 263,0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Социальная политика (раздел 1000)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72 368,6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100 662,2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28 293,6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39,1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 xml:space="preserve">-пенсионное обеспечение (подраздел 1001)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9 101,3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3 489,1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38,3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- социальное обеспечение населения (подраздел 1003)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-охрана семьи и детства (подраздел 1004)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57 176,9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24 338,0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42,6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другие вопросы в области  социальной политики (подраздел 1006)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3 895,9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466,5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 (раздел 1100)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76 799,9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78 712,0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1 912,1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физическая культура  (подраздел 1101)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 спорт высших достижений (подраздел 1103)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39 642,2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1 912,1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4,8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-другие вопросы в области физической культуры и спорта </w:t>
            </w: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(подраздел 1105)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37 068,7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37 068,7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 (раздел 1300)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343311">
              <w:rPr>
                <w:sz w:val="19"/>
                <w:szCs w:val="19"/>
              </w:rPr>
              <w:t xml:space="preserve"> о</w:t>
            </w:r>
            <w:r w:rsidRPr="00343311">
              <w:rPr>
                <w:rFonts w:ascii="Times New Roman" w:hAnsi="Times New Roman" w:cs="Times New Roman"/>
                <w:sz w:val="19"/>
                <w:szCs w:val="19"/>
              </w:rPr>
              <w:t>бслуживание государственного (муниципального) внутреннего долга (подраздел 1301)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 (раздел 1400)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46 032,0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47 906,7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1 874,7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4,1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-дотации на выравнивание бюджетной обеспеченности субъектов Российской Федерации и муниципальных образований (подраздел 1401)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E1450" w:rsidRPr="00343311" w:rsidTr="00E4099C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1450" w:rsidRPr="00343311" w:rsidRDefault="003E1450" w:rsidP="00E409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sz w:val="20"/>
                <w:szCs w:val="20"/>
              </w:rPr>
              <w:t>-прочие межбюджетные трансферты общего характера (подраздел 1403)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4 138,0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6 012,7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1 874,7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1450" w:rsidRPr="00343311" w:rsidRDefault="003E1450" w:rsidP="00E4099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331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45,3</w:t>
            </w:r>
          </w:p>
        </w:tc>
      </w:tr>
    </w:tbl>
    <w:p w:rsidR="003E1450" w:rsidRPr="00343311" w:rsidRDefault="003E1450" w:rsidP="003E1450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1450" w:rsidRPr="00343311" w:rsidRDefault="003E1450" w:rsidP="003E145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>В целом расходная часть бюджета предлагается к увеличению в сумме 110 586,6 тыс. рублей, с приростом 8,4%, за счет увеличения плановых назначений по доходам, и в итоге составит 1 424 431,8 тыс. рублей.</w:t>
      </w:r>
    </w:p>
    <w:p w:rsidR="003E1450" w:rsidRPr="00CC3B65" w:rsidRDefault="003E1450" w:rsidP="003E14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E3413D" w:rsidRPr="00343311" w:rsidRDefault="00E3413D" w:rsidP="00E341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12BA8" w:rsidRPr="00343311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43311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43311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43311">
        <w:rPr>
          <w:rFonts w:ascii="Times New Roman" w:hAnsi="Times New Roman"/>
          <w:bCs/>
          <w:sz w:val="28"/>
          <w:szCs w:val="28"/>
        </w:rPr>
        <w:t>.</w:t>
      </w:r>
    </w:p>
    <w:p w:rsidR="00E3413D" w:rsidRPr="00BB1EF5" w:rsidRDefault="00E3413D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sectPr w:rsidR="00E3413D" w:rsidRPr="00BB1EF5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D5F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311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450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22D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1EF5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3D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24561</TotalTime>
  <Pages>5</Pages>
  <Words>1785</Words>
  <Characters>10177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2021-09-20T05:57:00Z</dcterms:created>
  <dcterms:modified xsi:type="dcterms:W3CDTF">2025-05-22T06:05:00Z</dcterms:modified>
</cp:coreProperties>
</file>